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633992C0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871CA5" w:rsidRPr="00871CA5">
        <w:rPr>
          <w:rFonts w:eastAsia="Times New Roman" w:cs="Times New Roman"/>
          <w:color w:val="000000"/>
          <w:sz w:val="40"/>
          <w:szCs w:val="40"/>
        </w:rPr>
        <w:t>«Техническое обеспечение рыбоводства»</w:t>
      </w:r>
    </w:p>
    <w:p w14:paraId="417850AC" w14:textId="4D83CB14" w:rsidR="00584FB3" w:rsidRDefault="00871CA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i/>
          <w:color w:val="000000"/>
          <w:sz w:val="36"/>
          <w:szCs w:val="36"/>
        </w:rPr>
        <w:t>Р</w:t>
      </w:r>
      <w:r w:rsidRPr="00871CA5">
        <w:rPr>
          <w:rFonts w:eastAsia="Times New Roman" w:cs="Times New Roman"/>
          <w:i/>
          <w:color w:val="000000"/>
          <w:sz w:val="36"/>
          <w:szCs w:val="36"/>
        </w:rPr>
        <w:t>егиональн</w:t>
      </w:r>
      <w:r>
        <w:rPr>
          <w:rFonts w:eastAsia="Times New Roman" w:cs="Times New Roman"/>
          <w:i/>
          <w:color w:val="000000"/>
          <w:sz w:val="36"/>
          <w:szCs w:val="36"/>
        </w:rPr>
        <w:t>ого</w:t>
      </w:r>
      <w:r w:rsidRPr="00871CA5">
        <w:rPr>
          <w:rFonts w:eastAsia="Times New Roman" w:cs="Times New Roman"/>
          <w:i/>
          <w:color w:val="000000"/>
          <w:sz w:val="36"/>
          <w:szCs w:val="36"/>
        </w:rPr>
        <w:t xml:space="preserve"> этапа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796F88C3" w:rsidR="00A74F0F" w:rsidRPr="00721165" w:rsidRDefault="00C025DD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_</w:t>
      </w:r>
      <w:r w:rsidR="00D60038">
        <w:rPr>
          <w:rFonts w:eastAsia="Times New Roman" w:cs="Times New Roman"/>
          <w:color w:val="000000"/>
          <w:sz w:val="36"/>
          <w:szCs w:val="36"/>
          <w:u w:val="single"/>
        </w:rPr>
        <w:t>Мурманская область</w:t>
      </w:r>
      <w:bookmarkStart w:id="0" w:name="_GoBack"/>
      <w:bookmarkEnd w:id="0"/>
      <w:r>
        <w:rPr>
          <w:rFonts w:eastAsia="Times New Roman" w:cs="Times New Roman"/>
          <w:color w:val="000000"/>
          <w:sz w:val="36"/>
          <w:szCs w:val="36"/>
          <w:u w:val="single"/>
        </w:rPr>
        <w:t>_</w:t>
      </w:r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676DC079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871CA5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D6003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52660409" w:rsidR="001A206B" w:rsidRDefault="00D6003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92463A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hyperlink>
        </w:p>
        <w:p w14:paraId="75AEF0BB" w14:textId="75C8DBB2" w:rsidR="001A206B" w:rsidRDefault="00D6003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92463A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hyperlink>
        </w:p>
        <w:p w14:paraId="53563A42" w14:textId="77777777" w:rsidR="001A206B" w:rsidRDefault="00D6003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D6003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35F6CDEA" w:rsidR="001A206B" w:rsidRDefault="00D60038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92463A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769AE0C" w14:textId="78F8645C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предназначена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для участников</w:t>
      </w:r>
      <w:r w:rsidR="00871CA5" w:rsidRPr="00871CA5">
        <w:t xml:space="preserve"> </w:t>
      </w:r>
      <w:r w:rsidR="00871CA5" w:rsidRPr="00871CA5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</w:t>
      </w:r>
      <w:r w:rsidR="00871CA5">
        <w:rPr>
          <w:rFonts w:eastAsia="Times New Roman" w:cs="Times New Roman"/>
          <w:color w:val="000000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2C46F97F" w14:textId="4341D98F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871CA5" w:rsidRPr="00871CA5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871CA5">
        <w:rPr>
          <w:rFonts w:eastAsia="Times New Roman" w:cs="Times New Roman"/>
          <w:color w:val="000000"/>
          <w:sz w:val="28"/>
          <w:szCs w:val="28"/>
        </w:rPr>
        <w:t>6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 xml:space="preserve">компетенции </w:t>
      </w:r>
      <w:r w:rsidR="00871CA5" w:rsidRPr="00871CA5">
        <w:rPr>
          <w:rFonts w:eastAsia="Times New Roman" w:cs="Times New Roman"/>
          <w:color w:val="000000"/>
          <w:sz w:val="28"/>
          <w:szCs w:val="28"/>
        </w:rPr>
        <w:t xml:space="preserve">«Техническое обеспечение рыбоводства».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4F3C5735" w14:textId="7955E3D8" w:rsidR="00871CA5" w:rsidRPr="00871CA5" w:rsidRDefault="00A8114D" w:rsidP="00871C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871CA5" w:rsidRPr="00871CA5">
        <w:t xml:space="preserve"> </w:t>
      </w:r>
      <w:r w:rsidR="00871CA5" w:rsidRPr="00871CA5">
        <w:rPr>
          <w:rFonts w:eastAsia="Times New Roman" w:cs="Times New Roman"/>
          <w:color w:val="000000"/>
          <w:sz w:val="28"/>
          <w:szCs w:val="28"/>
        </w:rPr>
        <w:t>Приказ Минтруда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 w14:paraId="58EA7E5E" w14:textId="77777777" w:rsidR="00871CA5" w:rsidRPr="00871CA5" w:rsidRDefault="00871CA5" w:rsidP="00871C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71CA5">
        <w:rPr>
          <w:rFonts w:eastAsia="Times New Roman" w:cs="Times New Roman"/>
          <w:color w:val="000000"/>
          <w:sz w:val="28"/>
          <w:szCs w:val="28"/>
        </w:rPr>
        <w:t>2.1.3. Приказ Минтруда от 29.10.2021 № 766н «Об утверждении Правил обеспечения работников средствами индивидуальной защиты и смывающими средствами»</w:t>
      </w:r>
    </w:p>
    <w:p w14:paraId="36FECE7D" w14:textId="77777777" w:rsidR="00871CA5" w:rsidRPr="00871CA5" w:rsidRDefault="00871CA5" w:rsidP="00871C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71CA5">
        <w:rPr>
          <w:rFonts w:eastAsia="Times New Roman" w:cs="Times New Roman"/>
          <w:color w:val="000000"/>
          <w:sz w:val="28"/>
          <w:szCs w:val="28"/>
        </w:rPr>
        <w:t>2.1.4. Приказ Минтруда от 29.10.2021 № 767н «Об утверждении Единых типовых норм выдачи средств индивидуальной защиты и смывающих средств»</w:t>
      </w:r>
    </w:p>
    <w:p w14:paraId="6844724A" w14:textId="77777777" w:rsidR="00871CA5" w:rsidRPr="00871CA5" w:rsidRDefault="00871CA5" w:rsidP="00871C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71CA5">
        <w:rPr>
          <w:rFonts w:eastAsia="Times New Roman" w:cs="Times New Roman"/>
          <w:color w:val="000000"/>
          <w:sz w:val="28"/>
          <w:szCs w:val="28"/>
        </w:rPr>
        <w:t xml:space="preserve">2.1.5. </w:t>
      </w:r>
      <w:proofErr w:type="gramStart"/>
      <w:r w:rsidRPr="00871CA5">
        <w:rPr>
          <w:rFonts w:eastAsia="Times New Roman" w:cs="Times New Roman"/>
          <w:color w:val="000000"/>
          <w:sz w:val="28"/>
          <w:szCs w:val="28"/>
        </w:rPr>
        <w:t>Приказе</w:t>
      </w:r>
      <w:proofErr w:type="gramEnd"/>
      <w:r w:rsidRPr="00871CA5">
        <w:rPr>
          <w:rFonts w:eastAsia="Times New Roman" w:cs="Times New Roman"/>
          <w:color w:val="000000"/>
          <w:sz w:val="28"/>
          <w:szCs w:val="28"/>
        </w:rPr>
        <w:t xml:space="preserve"> Минтруда России от 07.12.2020 № 866н «Об утверждении Правил по охране труда при производстве отдельных видов пищевой продукции»</w:t>
      </w:r>
    </w:p>
    <w:p w14:paraId="68B30000" w14:textId="24E17BC4" w:rsidR="001A206B" w:rsidRDefault="00871CA5" w:rsidP="00871C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71CA5">
        <w:rPr>
          <w:rFonts w:eastAsia="Times New Roman" w:cs="Times New Roman"/>
          <w:color w:val="000000"/>
          <w:sz w:val="28"/>
          <w:szCs w:val="28"/>
        </w:rPr>
        <w:t>2.1.6. Постановление Правительства Российской Федерации от 16 сентября 2020 г. № 1479 «Об утверждении Правил противопожарного режима в Российской Федерации»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3. Общие требования охраны труда</w:t>
      </w:r>
    </w:p>
    <w:p w14:paraId="055E93A9" w14:textId="193FFA5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К выполнению конкурсного задания по компетенции «</w:t>
      </w:r>
      <w:r w:rsidR="00871CA5" w:rsidRPr="00871CA5">
        <w:rPr>
          <w:rFonts w:eastAsia="Times New Roman" w:cs="Times New Roman"/>
          <w:color w:val="000000"/>
          <w:sz w:val="28"/>
          <w:szCs w:val="28"/>
        </w:rPr>
        <w:t>Техническое обеспечение рыбоводства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871CA5" w:rsidRPr="00871CA5">
        <w:rPr>
          <w:rFonts w:eastAsia="Times New Roman" w:cs="Times New Roman"/>
          <w:color w:val="000000"/>
          <w:sz w:val="28"/>
          <w:szCs w:val="28"/>
        </w:rPr>
        <w:t>«Специалист по техническому обеспечению рыболовства и рыбоводства»</w:t>
      </w:r>
      <w:r w:rsidR="00871CA5">
        <w:rPr>
          <w:rFonts w:eastAsia="Times New Roman" w:cs="Times New Roman"/>
          <w:color w:val="000000"/>
          <w:sz w:val="28"/>
          <w:szCs w:val="28"/>
        </w:rPr>
        <w:t xml:space="preserve"> или смежным профессиям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>ознакомленные с инструкцией по охране труда, не</w:t>
      </w:r>
      <w:proofErr w:type="gramEnd"/>
      <w:r w:rsidR="009269AB">
        <w:rPr>
          <w:rFonts w:eastAsia="Times New Roman" w:cs="Times New Roman"/>
          <w:color w:val="000000"/>
          <w:sz w:val="28"/>
          <w:szCs w:val="28"/>
        </w:rPr>
        <w:t xml:space="preserve">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В случаях </w:t>
      </w:r>
      <w:proofErr w:type="spellStart"/>
      <w:r w:rsidR="00A8114D"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 w:rsidR="00A8114D">
        <w:rPr>
          <w:rFonts w:eastAsia="Times New Roman" w:cs="Times New Roman"/>
          <w:color w:val="000000"/>
          <w:sz w:val="28"/>
          <w:szCs w:val="28"/>
        </w:rPr>
        <w:t xml:space="preserve">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72976B18" w14:textId="77777777" w:rsidR="0092463A" w:rsidRDefault="001F4C44" w:rsidP="001F4C44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F4C44">
        <w:rPr>
          <w:rFonts w:eastAsia="Times New Roman" w:cs="Times New Roman"/>
          <w:color w:val="000000"/>
          <w:sz w:val="28"/>
          <w:szCs w:val="28"/>
        </w:rPr>
        <w:t xml:space="preserve">ознакомиться с инструкцией по охране труда, с планами эвакуации при возникновении пожара, местами расположения санитарно-бытовых </w:t>
      </w:r>
      <w:r w:rsidRPr="001F4C44">
        <w:rPr>
          <w:rFonts w:eastAsia="Times New Roman" w:cs="Times New Roman"/>
          <w:color w:val="000000"/>
          <w:sz w:val="28"/>
          <w:szCs w:val="28"/>
        </w:rPr>
        <w:lastRenderedPageBreak/>
        <w:t>помещений, медицинскими кабинетами, питьевой воды, подготовить рабочее место в соответствии с конкурсным заданием и описанием компетенции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44D1F6A9" w14:textId="77777777" w:rsidR="0092463A" w:rsidRDefault="001F4C44" w:rsidP="0092463A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 xml:space="preserve">проверить специальную одежду, обувь и др. средства индивидуальной защиты. Одеть необходимые средства защиты для выполнения задания. </w:t>
      </w:r>
      <w:r w:rsidR="0092463A" w:rsidRPr="0092463A">
        <w:rPr>
          <w:rFonts w:eastAsia="Times New Roman" w:cs="Times New Roman"/>
          <w:color w:val="000000"/>
          <w:sz w:val="28"/>
          <w:szCs w:val="28"/>
        </w:rPr>
        <w:t>О</w:t>
      </w:r>
      <w:r w:rsidRPr="0092463A">
        <w:rPr>
          <w:rFonts w:eastAsia="Times New Roman" w:cs="Times New Roman"/>
          <w:color w:val="000000"/>
          <w:sz w:val="28"/>
          <w:szCs w:val="28"/>
        </w:rPr>
        <w:t>дежда и обувь конкурсанта должна быть выбрана по погоде, удобной для работы, застегнута на пуговицы и молнии;</w:t>
      </w:r>
    </w:p>
    <w:p w14:paraId="7558C1DF" w14:textId="45F092A7" w:rsidR="001F4C44" w:rsidRPr="0092463A" w:rsidRDefault="001F4C44" w:rsidP="0092463A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>- подготовить рабочее место (</w:t>
      </w:r>
      <w:proofErr w:type="gramStart"/>
      <w:r w:rsidRPr="0092463A">
        <w:rPr>
          <w:rFonts w:eastAsia="Times New Roman" w:cs="Times New Roman"/>
          <w:color w:val="000000"/>
          <w:sz w:val="28"/>
          <w:szCs w:val="28"/>
        </w:rPr>
        <w:t>разместить инструмент</w:t>
      </w:r>
      <w:proofErr w:type="gramEnd"/>
      <w:r w:rsidRPr="0092463A">
        <w:rPr>
          <w:rFonts w:eastAsia="Times New Roman" w:cs="Times New Roman"/>
          <w:color w:val="000000"/>
          <w:sz w:val="28"/>
          <w:szCs w:val="28"/>
        </w:rPr>
        <w:t xml:space="preserve"> и расходные материалы в инструментальный шкаф; произвести подключение и настройку оборудования);</w:t>
      </w:r>
    </w:p>
    <w:p w14:paraId="35FF1D57" w14:textId="77777777" w:rsidR="001F4C44" w:rsidRDefault="001F4C44" w:rsidP="001F4C44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</w:t>
      </w:r>
      <w:r w:rsidRPr="001F4C44">
        <w:rPr>
          <w:rFonts w:eastAsia="Times New Roman" w:cs="Times New Roman"/>
          <w:color w:val="000000"/>
          <w:sz w:val="28"/>
          <w:szCs w:val="28"/>
        </w:rPr>
        <w:t>одготовить инструмент и оборудование, разре</w:t>
      </w:r>
      <w:r>
        <w:rPr>
          <w:rFonts w:eastAsia="Times New Roman" w:cs="Times New Roman"/>
          <w:color w:val="000000"/>
          <w:sz w:val="28"/>
          <w:szCs w:val="28"/>
        </w:rPr>
        <w:t>шенное к самостоятельной работе;</w:t>
      </w:r>
    </w:p>
    <w:p w14:paraId="558A6823" w14:textId="77777777" w:rsidR="0092463A" w:rsidRDefault="001F4C44" w:rsidP="001F4C44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>изучить содержание и порядок проведения модулей конкурсного задания, а также безопасные приемы их выполнения. Проверить исправность инструмента и оборудования визуальным осмотром</w:t>
      </w:r>
      <w:r w:rsidR="0092463A" w:rsidRPr="0092463A">
        <w:rPr>
          <w:rFonts w:eastAsia="Times New Roman" w:cs="Times New Roman"/>
          <w:color w:val="000000"/>
          <w:sz w:val="28"/>
          <w:szCs w:val="28"/>
        </w:rPr>
        <w:t>;</w:t>
      </w:r>
    </w:p>
    <w:p w14:paraId="1690DEA5" w14:textId="4A75AC75" w:rsidR="001F4C44" w:rsidRPr="0092463A" w:rsidRDefault="0092463A" w:rsidP="001F4C44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</w:t>
      </w:r>
      <w:r w:rsidR="001F4C44" w:rsidRPr="0092463A">
        <w:rPr>
          <w:rFonts w:eastAsia="Times New Roman" w:cs="Times New Roman"/>
          <w:color w:val="000000"/>
          <w:sz w:val="28"/>
          <w:szCs w:val="28"/>
        </w:rPr>
        <w:t>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3FBBE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0ACE512D" w14:textId="74978F16" w:rsidR="00871CA5" w:rsidRPr="001F4C44" w:rsidRDefault="001F4C44" w:rsidP="001F4C44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F4C44">
        <w:rPr>
          <w:rFonts w:eastAsia="Times New Roman" w:cs="Times New Roman"/>
          <w:color w:val="000000"/>
          <w:sz w:val="28"/>
          <w:szCs w:val="28"/>
        </w:rPr>
        <w:t>н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еисправность оборудования и инструментов</w:t>
      </w:r>
      <w:r w:rsidRPr="001F4C44">
        <w:rPr>
          <w:rFonts w:eastAsia="Times New Roman" w:cs="Times New Roman"/>
          <w:color w:val="000000"/>
          <w:sz w:val="28"/>
          <w:szCs w:val="28"/>
        </w:rPr>
        <w:t xml:space="preserve"> (т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рещины, повреждения корпуса, утечки в гидравлических/пневматических системах</w:t>
      </w:r>
      <w:r w:rsidRPr="001F4C44">
        <w:rPr>
          <w:rFonts w:eastAsia="Times New Roman" w:cs="Times New Roman"/>
          <w:color w:val="000000"/>
          <w:sz w:val="28"/>
          <w:szCs w:val="28"/>
        </w:rPr>
        <w:t>; н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арушение изоляции электропроводки, искрение, нер</w:t>
      </w:r>
      <w:r w:rsidRPr="001F4C44">
        <w:rPr>
          <w:rFonts w:eastAsia="Times New Roman" w:cs="Times New Roman"/>
          <w:color w:val="000000"/>
          <w:sz w:val="28"/>
          <w:szCs w:val="28"/>
        </w:rPr>
        <w:t>аботающие аварийные выключатели; о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тсутствие или неисправность защитных ограждений движущихся частей механизмов</w:t>
      </w:r>
      <w:r w:rsidRPr="001F4C44">
        <w:rPr>
          <w:rFonts w:eastAsia="Times New Roman" w:cs="Times New Roman"/>
          <w:color w:val="000000"/>
          <w:sz w:val="28"/>
          <w:szCs w:val="28"/>
        </w:rPr>
        <w:t>);</w:t>
      </w:r>
    </w:p>
    <w:p w14:paraId="4A01E90B" w14:textId="7B83F6CA" w:rsidR="00871CA5" w:rsidRPr="001F4C44" w:rsidRDefault="001F4C44" w:rsidP="001F4C44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F4C44">
        <w:rPr>
          <w:rFonts w:eastAsia="Times New Roman" w:cs="Times New Roman"/>
          <w:color w:val="000000"/>
          <w:sz w:val="28"/>
          <w:szCs w:val="28"/>
        </w:rPr>
        <w:t>о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тсутствие средств индивидуальной защиты (</w:t>
      </w:r>
      <w:proofErr w:type="gramStart"/>
      <w:r w:rsidR="00871CA5" w:rsidRPr="001F4C44">
        <w:rPr>
          <w:rFonts w:eastAsia="Times New Roman" w:cs="Times New Roman"/>
          <w:color w:val="000000"/>
          <w:sz w:val="28"/>
          <w:szCs w:val="28"/>
        </w:rPr>
        <w:t>СИЗ</w:t>
      </w:r>
      <w:proofErr w:type="gramEnd"/>
      <w:r w:rsidR="00871CA5" w:rsidRPr="001F4C44">
        <w:rPr>
          <w:rFonts w:eastAsia="Times New Roman" w:cs="Times New Roman"/>
          <w:color w:val="000000"/>
          <w:sz w:val="28"/>
          <w:szCs w:val="28"/>
        </w:rPr>
        <w:t>)</w:t>
      </w:r>
      <w:r w:rsidRPr="001F4C44">
        <w:rPr>
          <w:rFonts w:eastAsia="Times New Roman" w:cs="Times New Roman"/>
          <w:color w:val="000000"/>
          <w:sz w:val="28"/>
          <w:szCs w:val="28"/>
        </w:rPr>
        <w:t xml:space="preserve"> (н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ет защитных очков, перчаток, спецодежды, обуви с противоскользящей подошвой</w:t>
      </w:r>
      <w:r w:rsidRPr="001F4C44">
        <w:rPr>
          <w:rFonts w:eastAsia="Times New Roman" w:cs="Times New Roman"/>
          <w:color w:val="000000"/>
          <w:sz w:val="28"/>
          <w:szCs w:val="28"/>
        </w:rPr>
        <w:t>; н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еиспользование респиратора при работе с химикатами или аэрозолями</w:t>
      </w:r>
      <w:r w:rsidRPr="001F4C44">
        <w:rPr>
          <w:rFonts w:eastAsia="Times New Roman" w:cs="Times New Roman"/>
          <w:color w:val="000000"/>
          <w:sz w:val="28"/>
          <w:szCs w:val="28"/>
        </w:rPr>
        <w:t>);</w:t>
      </w:r>
    </w:p>
    <w:p w14:paraId="7255BCDD" w14:textId="53D86B54" w:rsidR="00871CA5" w:rsidRPr="001F4C44" w:rsidRDefault="001F4C44" w:rsidP="001F4C44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F4C44">
        <w:rPr>
          <w:rFonts w:eastAsia="Times New Roman" w:cs="Times New Roman"/>
          <w:color w:val="000000"/>
          <w:sz w:val="28"/>
          <w:szCs w:val="28"/>
        </w:rPr>
        <w:t>н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арушение электробезопасности</w:t>
      </w:r>
      <w:r w:rsidRPr="001F4C44">
        <w:rPr>
          <w:rFonts w:eastAsia="Times New Roman" w:cs="Times New Roman"/>
          <w:color w:val="000000"/>
          <w:sz w:val="28"/>
          <w:szCs w:val="28"/>
        </w:rPr>
        <w:t xml:space="preserve"> (о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борудование не заземлено или имеет повреждённые кабели</w:t>
      </w:r>
      <w:r w:rsidRPr="001F4C44">
        <w:rPr>
          <w:rFonts w:eastAsia="Times New Roman" w:cs="Times New Roman"/>
          <w:color w:val="000000"/>
          <w:sz w:val="28"/>
          <w:szCs w:val="28"/>
        </w:rPr>
        <w:t>; р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абота в условиях повышенной влажности без защиты от поражения током</w:t>
      </w:r>
      <w:r w:rsidRPr="001F4C44">
        <w:rPr>
          <w:rFonts w:eastAsia="Times New Roman" w:cs="Times New Roman"/>
          <w:color w:val="000000"/>
          <w:sz w:val="28"/>
          <w:szCs w:val="28"/>
        </w:rPr>
        <w:t>);</w:t>
      </w:r>
    </w:p>
    <w:p w14:paraId="5749B043" w14:textId="2D97E890" w:rsidR="00871CA5" w:rsidRPr="001F4C44" w:rsidRDefault="001F4C44" w:rsidP="001F4C44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F4C44">
        <w:rPr>
          <w:rFonts w:eastAsia="Times New Roman" w:cs="Times New Roman"/>
          <w:color w:val="000000"/>
          <w:sz w:val="28"/>
          <w:szCs w:val="28"/>
        </w:rPr>
        <w:lastRenderedPageBreak/>
        <w:t>н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есоответствие условий труда санитарным нормам</w:t>
      </w:r>
      <w:r w:rsidRPr="001F4C44">
        <w:rPr>
          <w:rFonts w:eastAsia="Times New Roman" w:cs="Times New Roman"/>
          <w:color w:val="000000"/>
          <w:sz w:val="28"/>
          <w:szCs w:val="28"/>
        </w:rPr>
        <w:t xml:space="preserve"> (з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агазованность, недостаточная вентиляция в помещен</w:t>
      </w:r>
      <w:r w:rsidRPr="001F4C44">
        <w:rPr>
          <w:rFonts w:eastAsia="Times New Roman" w:cs="Times New Roman"/>
          <w:color w:val="000000"/>
          <w:sz w:val="28"/>
          <w:szCs w:val="28"/>
        </w:rPr>
        <w:t>ии; н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 xml:space="preserve">аличие токсичных веществ (химикатов, удобрений, </w:t>
      </w:r>
      <w:proofErr w:type="spellStart"/>
      <w:r w:rsidR="00871CA5" w:rsidRPr="001F4C44">
        <w:rPr>
          <w:rFonts w:eastAsia="Times New Roman" w:cs="Times New Roman"/>
          <w:color w:val="000000"/>
          <w:sz w:val="28"/>
          <w:szCs w:val="28"/>
        </w:rPr>
        <w:t>дезинфектантов</w:t>
      </w:r>
      <w:proofErr w:type="spellEnd"/>
      <w:r w:rsidR="00871CA5" w:rsidRPr="001F4C44">
        <w:rPr>
          <w:rFonts w:eastAsia="Times New Roman" w:cs="Times New Roman"/>
          <w:color w:val="000000"/>
          <w:sz w:val="28"/>
          <w:szCs w:val="28"/>
        </w:rPr>
        <w:t>) без маркировки и инструкций</w:t>
      </w:r>
      <w:r w:rsidRPr="001F4C44">
        <w:rPr>
          <w:rFonts w:eastAsia="Times New Roman" w:cs="Times New Roman"/>
          <w:color w:val="000000"/>
          <w:sz w:val="28"/>
          <w:szCs w:val="28"/>
        </w:rPr>
        <w:t>);</w:t>
      </w:r>
    </w:p>
    <w:p w14:paraId="5AC7BCBB" w14:textId="69E3C929" w:rsidR="00871CA5" w:rsidRPr="001F4C44" w:rsidRDefault="001F4C44" w:rsidP="001F4C44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F4C44">
        <w:rPr>
          <w:rFonts w:eastAsia="Times New Roman" w:cs="Times New Roman"/>
          <w:color w:val="000000"/>
          <w:sz w:val="28"/>
          <w:szCs w:val="28"/>
        </w:rPr>
        <w:t>н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еправильная организация рабочего места</w:t>
      </w:r>
      <w:r w:rsidRPr="001F4C44">
        <w:rPr>
          <w:rFonts w:eastAsia="Times New Roman" w:cs="Times New Roman"/>
          <w:color w:val="000000"/>
          <w:sz w:val="28"/>
          <w:szCs w:val="28"/>
        </w:rPr>
        <w:t xml:space="preserve"> (з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ахламлённость, препятствующая свободному перемещению</w:t>
      </w:r>
      <w:r w:rsidRPr="001F4C44">
        <w:rPr>
          <w:rFonts w:eastAsia="Times New Roman" w:cs="Times New Roman"/>
          <w:color w:val="000000"/>
          <w:sz w:val="28"/>
          <w:szCs w:val="28"/>
        </w:rPr>
        <w:t>; о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тсутствие предупреждающих знаков в зонах повышенной опасности</w:t>
      </w:r>
      <w:r w:rsidRPr="001F4C44">
        <w:rPr>
          <w:rFonts w:eastAsia="Times New Roman" w:cs="Times New Roman"/>
          <w:color w:val="000000"/>
          <w:sz w:val="28"/>
          <w:szCs w:val="28"/>
        </w:rPr>
        <w:t>);</w:t>
      </w:r>
    </w:p>
    <w:p w14:paraId="2B992B37" w14:textId="3A55C2D6" w:rsidR="00871CA5" w:rsidRPr="001F4C44" w:rsidRDefault="001F4C44" w:rsidP="001F4C44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F4C44">
        <w:rPr>
          <w:rFonts w:eastAsia="Times New Roman" w:cs="Times New Roman"/>
          <w:color w:val="000000"/>
          <w:sz w:val="28"/>
          <w:szCs w:val="28"/>
        </w:rPr>
        <w:t>о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тсутствие инструктажа и допуска</w:t>
      </w:r>
      <w:r w:rsidRPr="001F4C44">
        <w:rPr>
          <w:rFonts w:eastAsia="Times New Roman" w:cs="Times New Roman"/>
          <w:color w:val="000000"/>
          <w:sz w:val="28"/>
          <w:szCs w:val="28"/>
        </w:rPr>
        <w:t xml:space="preserve"> (к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онкурсант не прошёл вводный инструктаж по технике безопасности</w:t>
      </w:r>
      <w:r w:rsidRPr="001F4C44">
        <w:rPr>
          <w:rFonts w:eastAsia="Times New Roman" w:cs="Times New Roman"/>
          <w:color w:val="000000"/>
          <w:sz w:val="28"/>
          <w:szCs w:val="28"/>
        </w:rPr>
        <w:t>; н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ет разрешения на работу с конкретным</w:t>
      </w:r>
      <w:r w:rsidRPr="001F4C44">
        <w:rPr>
          <w:rFonts w:eastAsia="Times New Roman" w:cs="Times New Roman"/>
          <w:color w:val="000000"/>
          <w:sz w:val="28"/>
          <w:szCs w:val="28"/>
        </w:rPr>
        <w:t xml:space="preserve"> оборудованием (если требуется);</w:t>
      </w:r>
    </w:p>
    <w:p w14:paraId="3A94D34A" w14:textId="6E5909E2" w:rsidR="00871CA5" w:rsidRPr="001F4C44" w:rsidRDefault="001F4C44" w:rsidP="001F4C44">
      <w:pPr>
        <w:pStyle w:val="af6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F4C44">
        <w:rPr>
          <w:rFonts w:eastAsia="Times New Roman" w:cs="Times New Roman"/>
          <w:color w:val="000000"/>
          <w:sz w:val="28"/>
          <w:szCs w:val="28"/>
        </w:rPr>
        <w:t>у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гроза биологической безопасности</w:t>
      </w:r>
      <w:r w:rsidRPr="001F4C44">
        <w:rPr>
          <w:rFonts w:eastAsia="Times New Roman" w:cs="Times New Roman"/>
          <w:color w:val="000000"/>
          <w:sz w:val="28"/>
          <w:szCs w:val="28"/>
        </w:rPr>
        <w:t xml:space="preserve"> (н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арушение правил работы с живыми гидробионтами (риск травм, заражения)</w:t>
      </w:r>
      <w:r w:rsidRPr="001F4C44">
        <w:rPr>
          <w:rFonts w:eastAsia="Times New Roman" w:cs="Times New Roman"/>
          <w:color w:val="000000"/>
          <w:sz w:val="28"/>
          <w:szCs w:val="28"/>
        </w:rPr>
        <w:t>; к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онтакт с больной рыбой без соответствующих мер защиты</w:t>
      </w:r>
      <w:r w:rsidRPr="001F4C44">
        <w:rPr>
          <w:rFonts w:eastAsia="Times New Roman" w:cs="Times New Roman"/>
          <w:color w:val="000000"/>
          <w:sz w:val="28"/>
          <w:szCs w:val="28"/>
        </w:rPr>
        <w:t>)</w:t>
      </w:r>
      <w:r w:rsidR="00871CA5" w:rsidRPr="001F4C44">
        <w:rPr>
          <w:rFonts w:eastAsia="Times New Roman" w:cs="Times New Roman"/>
          <w:color w:val="000000"/>
          <w:sz w:val="28"/>
          <w:szCs w:val="28"/>
        </w:rPr>
        <w:t>.</w:t>
      </w:r>
    </w:p>
    <w:p w14:paraId="277DF3AE" w14:textId="0B43BD63" w:rsidR="001A206B" w:rsidRDefault="00871CA5" w:rsidP="001F4C44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871CA5">
        <w:rPr>
          <w:rFonts w:eastAsia="Times New Roman" w:cs="Times New Roman"/>
          <w:color w:val="000000"/>
          <w:sz w:val="28"/>
          <w:szCs w:val="28"/>
        </w:rPr>
        <w:t xml:space="preserve">При обнаружении любого из этих нарушений конкурсант обязан прекратить работу и сообщить </w:t>
      </w:r>
      <w:r w:rsidR="001F4C44">
        <w:rPr>
          <w:rFonts w:eastAsia="Times New Roman" w:cs="Times New Roman"/>
          <w:color w:val="000000"/>
          <w:sz w:val="28"/>
          <w:szCs w:val="28"/>
        </w:rPr>
        <w:t xml:space="preserve">главному </w:t>
      </w:r>
      <w:r w:rsidRPr="00871CA5">
        <w:rPr>
          <w:rFonts w:eastAsia="Times New Roman" w:cs="Times New Roman"/>
          <w:color w:val="000000"/>
          <w:sz w:val="28"/>
          <w:szCs w:val="28"/>
        </w:rPr>
        <w:t>эксперту до устранения проблемы.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53950ADE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</w:t>
      </w:r>
      <w:r w:rsidR="0092463A">
        <w:rPr>
          <w:rFonts w:eastAsia="Times New Roman" w:cs="Times New Roman"/>
          <w:color w:val="000000"/>
          <w:sz w:val="28"/>
          <w:szCs w:val="28"/>
        </w:rPr>
        <w:t>ании инструмента и оборудования: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7683"/>
      </w:tblGrid>
      <w:tr w:rsidR="0092463A" w:rsidRPr="008C75AB" w14:paraId="566BB8B3" w14:textId="77777777" w:rsidTr="0092463A">
        <w:trPr>
          <w:trHeight w:val="522"/>
          <w:tblHeader/>
        </w:trPr>
        <w:tc>
          <w:tcPr>
            <w:tcW w:w="2059" w:type="dxa"/>
          </w:tcPr>
          <w:p w14:paraId="3D0E7AAB" w14:textId="77777777" w:rsidR="0092463A" w:rsidRPr="008C75AB" w:rsidRDefault="0092463A" w:rsidP="00883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</w:rPr>
            </w:pPr>
            <w:r w:rsidRPr="008C75AB">
              <w:rPr>
                <w:rFonts w:cs="Times New Roman"/>
                <w:b/>
                <w:bCs/>
                <w:color w:val="000000"/>
              </w:rPr>
              <w:t>Наименование инструмента/ оборудования</w:t>
            </w:r>
          </w:p>
        </w:tc>
        <w:tc>
          <w:tcPr>
            <w:tcW w:w="7683" w:type="dxa"/>
          </w:tcPr>
          <w:p w14:paraId="6F84D852" w14:textId="77777777" w:rsidR="0092463A" w:rsidRPr="008C75AB" w:rsidRDefault="0092463A" w:rsidP="008838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</w:rPr>
            </w:pPr>
            <w:r w:rsidRPr="008C75AB">
              <w:rPr>
                <w:rFonts w:eastAsia="Times New Roman" w:cs="Times New Roman"/>
                <w:b/>
              </w:rPr>
              <w:t>Требования безопасности</w:t>
            </w:r>
          </w:p>
        </w:tc>
      </w:tr>
      <w:tr w:rsidR="0092463A" w:rsidRPr="008C75AB" w14:paraId="2BDE57E8" w14:textId="77777777" w:rsidTr="0092463A">
        <w:trPr>
          <w:trHeight w:val="730"/>
        </w:trPr>
        <w:tc>
          <w:tcPr>
            <w:tcW w:w="2059" w:type="dxa"/>
          </w:tcPr>
          <w:p w14:paraId="7D998F0E" w14:textId="77777777" w:rsidR="0092463A" w:rsidRPr="008C75AB" w:rsidRDefault="0092463A" w:rsidP="008838E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</w:rPr>
            </w:pPr>
            <w:r w:rsidRPr="008C75AB">
              <w:rPr>
                <w:rFonts w:cs="Times New Roman"/>
              </w:rPr>
              <w:t>Приборы портативные и стационарные контроля качества воды</w:t>
            </w:r>
          </w:p>
        </w:tc>
        <w:tc>
          <w:tcPr>
            <w:tcW w:w="7683" w:type="dxa"/>
          </w:tcPr>
          <w:p w14:paraId="0711F8BC" w14:textId="77777777" w:rsidR="0092463A" w:rsidRPr="008C75AB" w:rsidRDefault="0092463A" w:rsidP="008838E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</w:rPr>
            </w:pPr>
            <w:r w:rsidRPr="008C75AB">
              <w:rPr>
                <w:rFonts w:cs="Times New Roman"/>
                <w:iCs/>
                <w:shd w:val="clear" w:color="auto" w:fill="FFFFFF"/>
              </w:rPr>
              <w:t xml:space="preserve">- </w:t>
            </w:r>
            <w:r w:rsidRPr="008C75AB">
              <w:rPr>
                <w:rFonts w:cs="Times New Roman"/>
              </w:rPr>
              <w:t>при распаковке приборов контроля качества воды необходимо проверить целостность стеклянных изделий (электродов, экрана) и т.п.;</w:t>
            </w:r>
            <w:r w:rsidRPr="008C75AB">
              <w:rPr>
                <w:rFonts w:cs="Times New Roman"/>
              </w:rPr>
              <w:br/>
              <w:t>- при установке приборов контроля качества воды должен обеспечиваться доступ к ним с трех сторон;</w:t>
            </w:r>
          </w:p>
          <w:p w14:paraId="57800675" w14:textId="77777777" w:rsidR="0092463A" w:rsidRPr="008C75AB" w:rsidRDefault="0092463A" w:rsidP="008838E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</w:rPr>
            </w:pPr>
            <w:r w:rsidRPr="008C75AB">
              <w:rPr>
                <w:rFonts w:cs="Times New Roman"/>
              </w:rPr>
              <w:t xml:space="preserve">- высота </w:t>
            </w:r>
            <w:proofErr w:type="gramStart"/>
            <w:r w:rsidRPr="008C75AB">
              <w:rPr>
                <w:rFonts w:cs="Times New Roman"/>
              </w:rPr>
              <w:t>установки приборов контроля качества воды</w:t>
            </w:r>
            <w:proofErr w:type="gramEnd"/>
            <w:r w:rsidRPr="008C75AB">
              <w:rPr>
                <w:rFonts w:cs="Times New Roman"/>
              </w:rPr>
              <w:t xml:space="preserve"> должна обеспечивать удобство работы конкурсанта;</w:t>
            </w:r>
          </w:p>
          <w:p w14:paraId="65849F40" w14:textId="77777777" w:rsidR="0092463A" w:rsidRPr="008C75AB" w:rsidRDefault="0092463A" w:rsidP="008838E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</w:rPr>
            </w:pPr>
            <w:r w:rsidRPr="008C75AB">
              <w:rPr>
                <w:rFonts w:cs="Times New Roman"/>
              </w:rPr>
              <w:t>- в помещении не должно быть пыли, паров кислот и щелочей, агрессивных газов и других вредных примесей, вызывающих коррозию.</w:t>
            </w:r>
          </w:p>
        </w:tc>
      </w:tr>
      <w:tr w:rsidR="0092463A" w:rsidRPr="008C75AB" w14:paraId="554BB74C" w14:textId="77777777" w:rsidTr="0092463A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A37" w14:textId="77777777" w:rsidR="0092463A" w:rsidRPr="008C75AB" w:rsidRDefault="0092463A" w:rsidP="008838E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</w:rPr>
            </w:pPr>
            <w:r w:rsidRPr="008C75AB">
              <w:rPr>
                <w:rFonts w:cs="Times New Roman"/>
              </w:rPr>
              <w:lastRenderedPageBreak/>
              <w:t>Инкубационные аппараты</w:t>
            </w:r>
          </w:p>
          <w:p w14:paraId="0B6325AC" w14:textId="77777777" w:rsidR="0092463A" w:rsidRPr="008C75AB" w:rsidRDefault="0092463A" w:rsidP="008838EF">
            <w:pPr>
              <w:pStyle w:val="Default"/>
              <w:rPr>
                <w:color w:val="auto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F8F8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при любых повреждениях трубных и шланговых соединениями отключать подача воды; </w:t>
            </w:r>
          </w:p>
          <w:p w14:paraId="6E6438DA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запрещается превышать нормативную загрузку икры в один аппарат; </w:t>
            </w:r>
          </w:p>
          <w:p w14:paraId="15E5FFA7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не допускать превышения расхода воды на один аппарат;</w:t>
            </w:r>
          </w:p>
          <w:p w14:paraId="338D7845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спускной желоб не должен забиваться и переполняться.  </w:t>
            </w:r>
          </w:p>
        </w:tc>
      </w:tr>
      <w:tr w:rsidR="0092463A" w:rsidRPr="008C75AB" w14:paraId="740FD3C8" w14:textId="77777777" w:rsidTr="0092463A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C58" w14:textId="77777777" w:rsidR="0092463A" w:rsidRPr="008C75AB" w:rsidRDefault="0092463A" w:rsidP="008838E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</w:rPr>
            </w:pPr>
            <w:proofErr w:type="gramStart"/>
            <w:r w:rsidRPr="008C75AB">
              <w:rPr>
                <w:rFonts w:cs="Times New Roman"/>
              </w:rPr>
              <w:t>Ус</w:t>
            </w:r>
            <w:r>
              <w:rPr>
                <w:rFonts w:cs="Times New Roman"/>
              </w:rPr>
              <w:t xml:space="preserve">тановка замкнутого </w:t>
            </w:r>
            <w:proofErr w:type="spellStart"/>
            <w:r>
              <w:rPr>
                <w:rFonts w:cs="Times New Roman"/>
              </w:rPr>
              <w:t>водообеспечения</w:t>
            </w:r>
            <w:proofErr w:type="spellEnd"/>
            <w:r w:rsidRPr="008C75AB">
              <w:rPr>
                <w:rFonts w:cs="Times New Roman"/>
              </w:rPr>
              <w:t xml:space="preserve"> для выращивания рыбы</w:t>
            </w:r>
            <w:proofErr w:type="gram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EB9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показания соответствующих приборов работы всех агрегатов и механизмов, обслуживающих установки, должны соответствовать нормативным параметрам;</w:t>
            </w:r>
          </w:p>
          <w:p w14:paraId="25C7C87C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в случае выхода из строя механизма перейти на дублирующий вариант, принять все меры по его восстановлению, доложить в срочном порядке экспертам, во всех случаях произвести записи в журнале;</w:t>
            </w:r>
          </w:p>
          <w:p w14:paraId="7C62F876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кроме специально оговоренных случаев, запрещается увеличивать количество подаваемой воды в бассейны сверх установленных норм;</w:t>
            </w:r>
          </w:p>
          <w:p w14:paraId="7BE2C8A4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категорически запрещается:</w:t>
            </w:r>
            <w:r w:rsidRPr="008C75AB">
              <w:rPr>
                <w:rFonts w:ascii="Times New Roman" w:hAnsi="Times New Roman" w:cs="Times New Roman"/>
                <w:color w:val="auto"/>
              </w:rPr>
              <w:br/>
              <w:t>-  во время работы установок отлучаться с рабочего места даже кратковременно и допускать на рабочее место посторонних лиц;</w:t>
            </w:r>
          </w:p>
          <w:p w14:paraId="46382C7F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пользоваться промасленной ветошью и рукавицами при работе с кислородом и озоном.</w:t>
            </w:r>
          </w:p>
        </w:tc>
      </w:tr>
      <w:tr w:rsidR="0092463A" w:rsidRPr="008C75AB" w14:paraId="6A7C9B13" w14:textId="77777777" w:rsidTr="0092463A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A315" w14:textId="77777777" w:rsidR="0092463A" w:rsidRPr="008C75AB" w:rsidRDefault="0092463A" w:rsidP="008838E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</w:rPr>
            </w:pPr>
            <w:proofErr w:type="gramStart"/>
            <w:r w:rsidRPr="008C75AB">
              <w:rPr>
                <w:rFonts w:cs="Times New Roman"/>
              </w:rPr>
              <w:t>Электронный</w:t>
            </w:r>
            <w:proofErr w:type="gramEnd"/>
            <w:r w:rsidRPr="008C75AB">
              <w:rPr>
                <w:rFonts w:cs="Times New Roman"/>
              </w:rPr>
              <w:t xml:space="preserve"> весы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272F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запыления зоны размещения весов; </w:t>
            </w:r>
          </w:p>
          <w:p w14:paraId="6C7105A5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попадания воды на весы; </w:t>
            </w:r>
          </w:p>
          <w:p w14:paraId="46F28766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резких перепадов температуры и воздушных потоков от вентиляторов; </w:t>
            </w:r>
          </w:p>
          <w:p w14:paraId="614122A7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избегать прямого попадания воды на весы; </w:t>
            </w:r>
          </w:p>
          <w:p w14:paraId="1ADB4F44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 xml:space="preserve">- не работать вблизи от высоковольтных кабелей, двигателей, радиопередатчиков и других источников электромагнитных помех; </w:t>
            </w:r>
          </w:p>
        </w:tc>
      </w:tr>
      <w:tr w:rsidR="0092463A" w:rsidRPr="008C75AB" w14:paraId="15C349BA" w14:textId="77777777" w:rsidTr="0092463A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0AA8" w14:textId="77777777" w:rsidR="0092463A" w:rsidRPr="008C75AB" w:rsidRDefault="0092463A" w:rsidP="008838E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</w:rPr>
            </w:pPr>
            <w:r w:rsidRPr="008C75AB">
              <w:rPr>
                <w:rFonts w:cs="Times New Roman"/>
              </w:rPr>
              <w:t>Автокормушки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84F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все механические соединения должны работать в штатном режиме;</w:t>
            </w:r>
          </w:p>
          <w:p w14:paraId="2F226A0B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запрещается превышать нормативную загрузку корма;</w:t>
            </w:r>
          </w:p>
          <w:p w14:paraId="564AFC70" w14:textId="77777777" w:rsidR="0092463A" w:rsidRPr="008C75AB" w:rsidRDefault="0092463A" w:rsidP="008838E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C75AB">
              <w:rPr>
                <w:rFonts w:ascii="Times New Roman" w:hAnsi="Times New Roman" w:cs="Times New Roman"/>
                <w:color w:val="auto"/>
              </w:rPr>
              <w:t>- при использовании сыпучих и мелкофракционных кормов необходимо использовать респиратор.</w:t>
            </w:r>
          </w:p>
        </w:tc>
      </w:tr>
    </w:tbl>
    <w:p w14:paraId="653C8F68" w14:textId="77777777" w:rsidR="0092463A" w:rsidRDefault="009246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F8B362A" w14:textId="77777777" w:rsidR="0092463A" w:rsidRPr="0092463A" w:rsidRDefault="0092463A" w:rsidP="009246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1t3h5sf"/>
      <w:bookmarkEnd w:id="7"/>
      <w:r w:rsidRPr="0092463A">
        <w:rPr>
          <w:rFonts w:eastAsia="Times New Roman" w:cs="Times New Roman"/>
          <w:color w:val="000000"/>
          <w:sz w:val="28"/>
          <w:szCs w:val="28"/>
        </w:rPr>
        <w:t>5.2. При выполнении конкурсных заданий и уборке рабочих мест:</w:t>
      </w:r>
    </w:p>
    <w:p w14:paraId="5AA9B6F5" w14:textId="77777777" w:rsidR="0092463A" w:rsidRPr="0092463A" w:rsidRDefault="0092463A" w:rsidP="009246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14:paraId="3BDCBCB5" w14:textId="77777777" w:rsidR="0092463A" w:rsidRPr="0092463A" w:rsidRDefault="0092463A" w:rsidP="009246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>- соблюдать настоящую инструкцию;</w:t>
      </w:r>
    </w:p>
    <w:p w14:paraId="1E402E38" w14:textId="77777777" w:rsidR="0092463A" w:rsidRPr="0092463A" w:rsidRDefault="0092463A" w:rsidP="009246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1F39D23E" w14:textId="77777777" w:rsidR="0092463A" w:rsidRPr="0092463A" w:rsidRDefault="0092463A" w:rsidP="009246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>- поддерживать порядок и чистоту на рабочем месте;</w:t>
      </w:r>
    </w:p>
    <w:p w14:paraId="08435B56" w14:textId="77777777" w:rsidR="0092463A" w:rsidRPr="0092463A" w:rsidRDefault="0092463A" w:rsidP="009246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14:paraId="1B13984F" w14:textId="77777777" w:rsidR="0092463A" w:rsidRPr="0092463A" w:rsidRDefault="0092463A" w:rsidP="009246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>- выполнять конкурсные задания только исправным инструментом.</w:t>
      </w:r>
    </w:p>
    <w:p w14:paraId="2A2550A2" w14:textId="59C6CCAA" w:rsidR="001A206B" w:rsidRDefault="0092463A" w:rsidP="009246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lastRenderedPageBreak/>
        <w:t>5.3. При неисправности инструмента и оборудования – прекратить выполнение конкурсного задания и сообщить об этом Эксперту, а в его отсутствие главному Эксперту.</w:t>
      </w:r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07B65425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 w:rsidR="0092463A" w:rsidRPr="0092463A">
        <w:rPr>
          <w:rFonts w:eastAsia="Times New Roman" w:cs="Times New Roman"/>
          <w:color w:val="000000"/>
          <w:sz w:val="28"/>
          <w:szCs w:val="28"/>
        </w:rPr>
        <w:t xml:space="preserve">конкурсанту </w:t>
      </w:r>
      <w:r w:rsidR="0092463A">
        <w:rPr>
          <w:rFonts w:eastAsia="Times New Roman" w:cs="Times New Roman"/>
          <w:color w:val="000000"/>
          <w:sz w:val="28"/>
          <w:szCs w:val="28"/>
        </w:rPr>
        <w:t>необходимо</w:t>
      </w:r>
      <w:r w:rsidR="0092463A" w:rsidRPr="0092463A">
        <w:t xml:space="preserve"> </w:t>
      </w:r>
      <w:r w:rsidR="0092463A" w:rsidRPr="0092463A">
        <w:rPr>
          <w:rFonts w:eastAsia="Times New Roman" w:cs="Times New Roman"/>
          <w:color w:val="000000"/>
          <w:sz w:val="28"/>
          <w:szCs w:val="28"/>
        </w:rPr>
        <w:t>немедленно сообщить о случившемся Экспертам. Выполнение конкурсного задания продолжить только после устранения возникшей неисправности</w:t>
      </w:r>
      <w:proofErr w:type="gramStart"/>
      <w:r w:rsidR="0092463A" w:rsidRPr="0092463A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>:</w:t>
      </w:r>
      <w:proofErr w:type="gramEnd"/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5C09181A" w14:textId="77777777" w:rsidR="0092463A" w:rsidRPr="0092463A" w:rsidRDefault="0092463A" w:rsidP="0092463A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63EE76D5" w14:textId="77777777" w:rsidR="0092463A" w:rsidRPr="0092463A" w:rsidRDefault="0092463A" w:rsidP="0092463A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lastRenderedPageBreak/>
        <w:t>Убрать средства индивидуальной защиты в отведенное для хранений место.</w:t>
      </w:r>
    </w:p>
    <w:p w14:paraId="4E51BDF7" w14:textId="77777777" w:rsidR="0092463A" w:rsidRPr="0092463A" w:rsidRDefault="0092463A" w:rsidP="0092463A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14:paraId="30F19ED9" w14:textId="77777777" w:rsidR="0092463A" w:rsidRPr="0092463A" w:rsidRDefault="0092463A" w:rsidP="0092463A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14:paraId="4067B6CF" w14:textId="77777777" w:rsidR="0092463A" w:rsidRPr="0092463A" w:rsidRDefault="0092463A" w:rsidP="0092463A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92463A"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4103E89" w14:textId="77777777" w:rsidR="001A206B" w:rsidRDefault="001A206B" w:rsidP="0092463A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45933" w14:textId="77777777" w:rsidR="00B037AB" w:rsidRDefault="00B037AB">
      <w:pPr>
        <w:spacing w:line="240" w:lineRule="auto"/>
      </w:pPr>
      <w:r>
        <w:separator/>
      </w:r>
    </w:p>
  </w:endnote>
  <w:endnote w:type="continuationSeparator" w:id="0">
    <w:p w14:paraId="5597A7A6" w14:textId="77777777" w:rsidR="00B037AB" w:rsidRDefault="00B03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09E39B04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D60038">
      <w:rPr>
        <w:rFonts w:ascii="Calibri" w:hAnsi="Calibri"/>
        <w:noProof/>
        <w:color w:val="000000"/>
        <w:sz w:val="22"/>
        <w:szCs w:val="22"/>
      </w:rPr>
      <w:t>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FF392" w14:textId="77777777" w:rsidR="00B037AB" w:rsidRDefault="00B037AB">
      <w:pPr>
        <w:spacing w:line="240" w:lineRule="auto"/>
      </w:pPr>
      <w:r>
        <w:separator/>
      </w:r>
    </w:p>
  </w:footnote>
  <w:footnote w:type="continuationSeparator" w:id="0">
    <w:p w14:paraId="4C978A37" w14:textId="77777777" w:rsidR="00B037AB" w:rsidRDefault="00B037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1C0B6D"/>
    <w:multiLevelType w:val="hybridMultilevel"/>
    <w:tmpl w:val="21E60116"/>
    <w:lvl w:ilvl="0" w:tplc="23ACD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44379"/>
    <w:rsid w:val="00067573"/>
    <w:rsid w:val="00195C80"/>
    <w:rsid w:val="001A206B"/>
    <w:rsid w:val="001F4C44"/>
    <w:rsid w:val="00325995"/>
    <w:rsid w:val="003D37FA"/>
    <w:rsid w:val="00463C10"/>
    <w:rsid w:val="004C3BFC"/>
    <w:rsid w:val="00584FB3"/>
    <w:rsid w:val="00721165"/>
    <w:rsid w:val="00871CA5"/>
    <w:rsid w:val="008A0253"/>
    <w:rsid w:val="0092463A"/>
    <w:rsid w:val="009269AB"/>
    <w:rsid w:val="00940A53"/>
    <w:rsid w:val="00A7162A"/>
    <w:rsid w:val="00A74F0F"/>
    <w:rsid w:val="00A8114D"/>
    <w:rsid w:val="00A82400"/>
    <w:rsid w:val="00AD4DA9"/>
    <w:rsid w:val="00B037AB"/>
    <w:rsid w:val="00B366B4"/>
    <w:rsid w:val="00B92118"/>
    <w:rsid w:val="00BA7163"/>
    <w:rsid w:val="00C006B0"/>
    <w:rsid w:val="00C025DD"/>
    <w:rsid w:val="00CC1E22"/>
    <w:rsid w:val="00CE2B77"/>
    <w:rsid w:val="00D60038"/>
    <w:rsid w:val="00EB37B9"/>
    <w:rsid w:val="00F26301"/>
    <w:rsid w:val="00F66017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Default">
    <w:name w:val="Default"/>
    <w:rsid w:val="0092463A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Default">
    <w:name w:val="Default"/>
    <w:rsid w:val="0092463A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0C3B60-87A0-45A2-A7B3-539843BDD160}"/>
</file>

<file path=customXml/itemProps3.xml><?xml version="1.0" encoding="utf-8"?>
<ds:datastoreItem xmlns:ds="http://schemas.openxmlformats.org/officeDocument/2006/customXml" ds:itemID="{C05836F9-EAAA-4470-B415-3886D6B51481}"/>
</file>

<file path=customXml/itemProps4.xml><?xml version="1.0" encoding="utf-8"?>
<ds:datastoreItem xmlns:ds="http://schemas.openxmlformats.org/officeDocument/2006/customXml" ds:itemID="{E29A3349-912B-45C7-BD03-FD3FB7809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user</cp:lastModifiedBy>
  <cp:revision>3</cp:revision>
  <dcterms:created xsi:type="dcterms:W3CDTF">2025-08-15T18:41:00Z</dcterms:created>
  <dcterms:modified xsi:type="dcterms:W3CDTF">2026-01-21T08:33:00Z</dcterms:modified>
</cp:coreProperties>
</file>